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FD46" w14:textId="040A5292" w:rsidR="00EE5816" w:rsidRPr="000C392D" w:rsidRDefault="000C392D" w:rsidP="00AF38A0">
      <w:pPr>
        <w:pStyle w:val="Default"/>
        <w:jc w:val="center"/>
        <w:rPr>
          <w:b/>
          <w:sz w:val="28"/>
          <w:szCs w:val="28"/>
        </w:rPr>
      </w:pPr>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6CA5F3F8" w14:textId="32FB14AB" w:rsidR="00A7645F" w:rsidRPr="00A7645F" w:rsidRDefault="00CE1873" w:rsidP="00203A0C">
      <w:pPr>
        <w:pStyle w:val="Default"/>
        <w:tabs>
          <w:tab w:val="left" w:pos="360"/>
        </w:tabs>
        <w:ind w:left="360" w:hanging="360"/>
        <w:rPr>
          <w:sz w:val="16"/>
          <w:szCs w:val="16"/>
        </w:rPr>
      </w:pPr>
      <w:r>
        <w:rPr>
          <w:b/>
          <w:sz w:val="23"/>
          <w:szCs w:val="23"/>
        </w:rPr>
        <w:tab/>
      </w:r>
      <w:r w:rsidR="00203A0C">
        <w:rPr>
          <w:b/>
          <w:sz w:val="23"/>
          <w:szCs w:val="23"/>
        </w:rPr>
        <w:t>U.S. Equity Small</w:t>
      </w:r>
      <w:r w:rsidR="00640989">
        <w:rPr>
          <w:b/>
          <w:sz w:val="23"/>
          <w:szCs w:val="23"/>
        </w:rPr>
        <w:t>/Mid</w:t>
      </w:r>
      <w:r w:rsidR="00203A0C">
        <w:rPr>
          <w:b/>
          <w:sz w:val="23"/>
          <w:szCs w:val="23"/>
        </w:rPr>
        <w:t xml:space="preserve"> Cap Value</w:t>
      </w:r>
      <w:r w:rsidR="0073142D" w:rsidRPr="0080617E">
        <w:rPr>
          <w:b/>
          <w:sz w:val="23"/>
          <w:szCs w:val="23"/>
        </w:rPr>
        <w:t xml:space="preserve">. </w:t>
      </w:r>
      <w:r w:rsidR="008F1BBC" w:rsidRPr="0080617E">
        <w:rPr>
          <w:b/>
          <w:sz w:val="23"/>
          <w:szCs w:val="23"/>
        </w:rPr>
        <w:t xml:space="preserve">The </w:t>
      </w:r>
      <w:r w:rsidR="000E1A08">
        <w:rPr>
          <w:b/>
          <w:sz w:val="23"/>
          <w:szCs w:val="23"/>
        </w:rPr>
        <w:t xml:space="preserve">approximate mandate will be </w:t>
      </w:r>
      <w:r w:rsidR="002D5A60">
        <w:rPr>
          <w:b/>
          <w:sz w:val="23"/>
          <w:szCs w:val="23"/>
        </w:rPr>
        <w:t>$</w:t>
      </w:r>
      <w:r w:rsidR="001D594E">
        <w:rPr>
          <w:b/>
          <w:sz w:val="23"/>
          <w:szCs w:val="23"/>
        </w:rPr>
        <w:t>25</w:t>
      </w:r>
      <w:r w:rsidR="00FD3E7D" w:rsidRPr="002B2E4D">
        <w:rPr>
          <w:b/>
          <w:sz w:val="23"/>
          <w:szCs w:val="23"/>
        </w:rPr>
        <w:t xml:space="preserve"> </w:t>
      </w:r>
      <w:r w:rsidR="008F1BBC" w:rsidRPr="002B2E4D">
        <w:rPr>
          <w:b/>
          <w:sz w:val="23"/>
          <w:szCs w:val="23"/>
        </w:rPr>
        <w:t>million</w:t>
      </w:r>
      <w:r w:rsidR="000E1A08" w:rsidRPr="002B2E4D">
        <w:rPr>
          <w:b/>
          <w:sz w:val="23"/>
          <w:szCs w:val="23"/>
        </w:rPr>
        <w:t xml:space="preserve">, </w:t>
      </w:r>
      <w:r w:rsidR="00AB326E" w:rsidRPr="002B2E4D">
        <w:rPr>
          <w:b/>
          <w:sz w:val="23"/>
          <w:szCs w:val="23"/>
        </w:rPr>
        <w:t>represent</w:t>
      </w:r>
      <w:r w:rsidR="000E1A08" w:rsidRPr="002B2E4D">
        <w:rPr>
          <w:b/>
          <w:sz w:val="23"/>
          <w:szCs w:val="23"/>
        </w:rPr>
        <w:t>ing</w:t>
      </w:r>
      <w:r w:rsidR="0043488B">
        <w:rPr>
          <w:b/>
          <w:sz w:val="23"/>
          <w:szCs w:val="23"/>
        </w:rPr>
        <w:t xml:space="preserve"> a </w:t>
      </w:r>
      <w:r w:rsidR="002172F4">
        <w:rPr>
          <w:b/>
          <w:sz w:val="23"/>
          <w:szCs w:val="23"/>
        </w:rPr>
        <w:t>3</w:t>
      </w:r>
      <w:r w:rsidR="0043488B">
        <w:rPr>
          <w:b/>
          <w:sz w:val="23"/>
          <w:szCs w:val="23"/>
        </w:rPr>
        <w:t>.0</w:t>
      </w:r>
      <w:r w:rsidR="00AB326E" w:rsidRPr="002B2E4D">
        <w:rPr>
          <w:b/>
          <w:sz w:val="23"/>
          <w:szCs w:val="23"/>
        </w:rPr>
        <w:t xml:space="preserve">% </w:t>
      </w:r>
      <w:r w:rsidR="0043488B">
        <w:rPr>
          <w:b/>
          <w:sz w:val="23"/>
          <w:szCs w:val="23"/>
        </w:rPr>
        <w:t xml:space="preserve">target allocation </w:t>
      </w:r>
      <w:r w:rsidR="00AB326E" w:rsidRPr="002B2E4D">
        <w:rPr>
          <w:b/>
          <w:sz w:val="23"/>
          <w:szCs w:val="23"/>
        </w:rPr>
        <w:t xml:space="preserve">of the </w:t>
      </w:r>
      <w:r w:rsidR="0043488B">
        <w:rPr>
          <w:b/>
          <w:sz w:val="23"/>
          <w:szCs w:val="23"/>
        </w:rPr>
        <w:t>total</w:t>
      </w:r>
      <w:r w:rsidR="00AB326E" w:rsidRPr="002B2E4D">
        <w:rPr>
          <w:b/>
          <w:sz w:val="23"/>
          <w:szCs w:val="23"/>
        </w:rPr>
        <w:t xml:space="preserve"> Fund.</w:t>
      </w:r>
      <w:r w:rsidR="00BE5C2E" w:rsidRPr="002B2E4D">
        <w:rPr>
          <w:b/>
          <w:sz w:val="23"/>
          <w:szCs w:val="23"/>
        </w:rPr>
        <w:t xml:space="preserve"> </w:t>
      </w:r>
      <w:r w:rsidR="00A342E3">
        <w:rPr>
          <w:b/>
          <w:sz w:val="23"/>
          <w:szCs w:val="23"/>
        </w:rPr>
        <w:t xml:space="preserve"> </w:t>
      </w:r>
      <w:r w:rsidR="00203A0C">
        <w:rPr>
          <w:b/>
          <w:sz w:val="23"/>
          <w:szCs w:val="23"/>
        </w:rPr>
        <w:t>The mandate will be be</w:t>
      </w:r>
      <w:r w:rsidR="00640989">
        <w:rPr>
          <w:b/>
          <w:sz w:val="23"/>
          <w:szCs w:val="23"/>
        </w:rPr>
        <w:t>nchmarked against the Russell 25</w:t>
      </w:r>
      <w:r w:rsidR="00203A0C">
        <w:rPr>
          <w:b/>
          <w:sz w:val="23"/>
          <w:szCs w:val="23"/>
        </w:rPr>
        <w:t>00 Value index.</w:t>
      </w:r>
    </w:p>
    <w:p w14:paraId="3C07B878" w14:textId="73E5F705" w:rsidR="004F0DCA" w:rsidRPr="0080617E" w:rsidRDefault="004F0DCA" w:rsidP="002172F4">
      <w:pPr>
        <w:pStyle w:val="Default"/>
        <w:tabs>
          <w:tab w:val="left" w:pos="360"/>
        </w:tabs>
        <w:ind w:left="720"/>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0" w:name="_Hlk528758827"/>
      <w:r w:rsidR="00366F6F">
        <w:rPr>
          <w:sz w:val="23"/>
          <w:szCs w:val="23"/>
        </w:rPr>
        <w:t xml:space="preserve">or a bank </w:t>
      </w:r>
      <w:r w:rsidRPr="0080617E">
        <w:rPr>
          <w:sz w:val="23"/>
          <w:szCs w:val="23"/>
        </w:rPr>
        <w:t>similarly registered</w:t>
      </w:r>
      <w:bookmarkEnd w:id="0"/>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 xml:space="preserve">he Board will consider a broad range of candidates and actively consider minority, </w:t>
      </w:r>
      <w:proofErr w:type="gramStart"/>
      <w:r w:rsidR="00D771E9" w:rsidRPr="0080617E">
        <w:rPr>
          <w:sz w:val="23"/>
          <w:szCs w:val="23"/>
        </w:rPr>
        <w:t>female</w:t>
      </w:r>
      <w:proofErr w:type="gramEnd"/>
      <w:r w:rsidR="00D771E9" w:rsidRPr="0080617E">
        <w:rPr>
          <w:sz w:val="23"/>
          <w:szCs w:val="23"/>
        </w:rPr>
        <w:t xml:space="preserv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w:t>
      </w:r>
      <w:proofErr w:type="gramStart"/>
      <w:r w:rsidR="002D6E0E">
        <w:rPr>
          <w:sz w:val="23"/>
          <w:szCs w:val="23"/>
        </w:rPr>
        <w:t>Policy</w:t>
      </w:r>
      <w:proofErr w:type="gramEnd"/>
      <w:r w:rsidR="002D6E0E">
        <w:rPr>
          <w:sz w:val="23"/>
          <w:szCs w:val="23"/>
        </w:rPr>
        <w:t xml:space="preserve">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574B0617" w14:textId="77777777" w:rsidR="00B52B9A" w:rsidRDefault="00B52B9A" w:rsidP="00AF38A0">
      <w:pPr>
        <w:pStyle w:val="Default"/>
        <w:rPr>
          <w:sz w:val="16"/>
          <w:szCs w:val="16"/>
        </w:rPr>
      </w:pPr>
    </w:p>
    <w:p w14:paraId="05FC4092" w14:textId="65BC630F" w:rsidR="001B19EF" w:rsidRDefault="001B19EF" w:rsidP="00AF38A0">
      <w:pPr>
        <w:pStyle w:val="Default"/>
        <w:rPr>
          <w:sz w:val="16"/>
          <w:szCs w:val="16"/>
        </w:rPr>
      </w:pPr>
    </w:p>
    <w:p w14:paraId="07312FFD" w14:textId="050AA1DB" w:rsidR="00640989" w:rsidRDefault="00640989" w:rsidP="00AF38A0">
      <w:pPr>
        <w:pStyle w:val="Default"/>
        <w:rPr>
          <w:sz w:val="16"/>
          <w:szCs w:val="16"/>
        </w:rPr>
      </w:pPr>
    </w:p>
    <w:p w14:paraId="03EFF0BB" w14:textId="26F2E2D1" w:rsidR="00640989" w:rsidRDefault="00640989" w:rsidP="00AF38A0">
      <w:pPr>
        <w:pStyle w:val="Default"/>
        <w:rPr>
          <w:sz w:val="16"/>
          <w:szCs w:val="16"/>
        </w:rPr>
      </w:pPr>
    </w:p>
    <w:p w14:paraId="4EF43E32" w14:textId="0B02EEF1" w:rsidR="00640989" w:rsidRDefault="00640989" w:rsidP="00AF38A0">
      <w:pPr>
        <w:pStyle w:val="Default"/>
        <w:rPr>
          <w:sz w:val="16"/>
          <w:szCs w:val="16"/>
        </w:rPr>
      </w:pPr>
    </w:p>
    <w:p w14:paraId="0A9540D0" w14:textId="1AE413F4" w:rsidR="00640989" w:rsidRDefault="00640989" w:rsidP="00AF38A0">
      <w:pPr>
        <w:pStyle w:val="Default"/>
        <w:rPr>
          <w:sz w:val="16"/>
          <w:szCs w:val="16"/>
        </w:rPr>
      </w:pPr>
    </w:p>
    <w:p w14:paraId="3ADE2772" w14:textId="779C15E7" w:rsidR="00640989" w:rsidRDefault="00640989" w:rsidP="00AF38A0">
      <w:pPr>
        <w:pStyle w:val="Default"/>
        <w:rPr>
          <w:sz w:val="16"/>
          <w:szCs w:val="16"/>
        </w:rPr>
      </w:pPr>
    </w:p>
    <w:p w14:paraId="3A0148C9" w14:textId="5E522940" w:rsidR="00640989" w:rsidRDefault="00640989" w:rsidP="00AF38A0">
      <w:pPr>
        <w:pStyle w:val="Default"/>
        <w:rPr>
          <w:sz w:val="16"/>
          <w:szCs w:val="16"/>
        </w:rPr>
      </w:pPr>
    </w:p>
    <w:p w14:paraId="11055B1D" w14:textId="77777777" w:rsidR="00640989" w:rsidRPr="0080617E" w:rsidRDefault="00640989"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lastRenderedPageBreak/>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583E33EB" w:rsidR="00435622" w:rsidRPr="002A786B" w:rsidRDefault="001D594E" w:rsidP="00E4104C">
            <w:pPr>
              <w:jc w:val="center"/>
            </w:pPr>
            <w:r>
              <w:t>October 19</w:t>
            </w:r>
            <w:r w:rsidR="003C6D2B">
              <w:t>, 20</w:t>
            </w:r>
            <w:r w:rsidR="007D0CED">
              <w:t>22</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723F85E8" w:rsidR="00435622" w:rsidRPr="002A786B" w:rsidRDefault="001D594E" w:rsidP="00E4104C">
            <w:pPr>
              <w:jc w:val="center"/>
            </w:pPr>
            <w:r>
              <w:t>November 4</w:t>
            </w:r>
            <w:r w:rsidR="007D0CED">
              <w:t>, 2022</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6A2062FA" w:rsidR="00435622" w:rsidRPr="002A786B" w:rsidDel="00FD3E7D" w:rsidRDefault="001D594E" w:rsidP="00E4104C">
            <w:pPr>
              <w:jc w:val="center"/>
            </w:pPr>
            <w:r>
              <w:t>November 10</w:t>
            </w:r>
            <w:r w:rsidR="00435622" w:rsidRPr="002A786B">
              <w:t>, 20</w:t>
            </w:r>
            <w:r w:rsidR="007D0CED">
              <w:t>22</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34031B4B" w:rsidR="00435622" w:rsidRPr="002A786B" w:rsidRDefault="001D594E" w:rsidP="00E4104C">
            <w:pPr>
              <w:jc w:val="center"/>
            </w:pPr>
            <w:r>
              <w:t>December 16</w:t>
            </w:r>
            <w:r w:rsidR="00203A0C">
              <w:t>, 2022</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4556785D" w:rsidR="00435622" w:rsidRPr="002A786B" w:rsidRDefault="00203A0C" w:rsidP="00E4104C">
            <w:pPr>
              <w:jc w:val="center"/>
            </w:pPr>
            <w:r>
              <w:t>February</w:t>
            </w:r>
            <w:r w:rsidR="00597EC8">
              <w:t>/</w:t>
            </w:r>
            <w:r>
              <w:t>March</w:t>
            </w:r>
            <w:r w:rsidR="00435622" w:rsidRPr="002A786B">
              <w:t xml:space="preserve"> 20</w:t>
            </w:r>
            <w:r w:rsidR="007D0CED">
              <w:t>2</w:t>
            </w:r>
            <w:r>
              <w:t>3</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27BA73CC" w:rsidR="00435622" w:rsidRPr="002A786B" w:rsidRDefault="00203A0C" w:rsidP="00E4104C">
            <w:pPr>
              <w:jc w:val="center"/>
            </w:pPr>
            <w:r>
              <w:t>February</w:t>
            </w:r>
            <w:r w:rsidR="00597EC8">
              <w:t>/</w:t>
            </w:r>
            <w:r>
              <w:t>March</w:t>
            </w:r>
            <w:r w:rsidR="00435622" w:rsidRPr="002A786B">
              <w:t xml:space="preserve"> 20</w:t>
            </w:r>
            <w:r w:rsidR="007D0CED">
              <w:t>2</w:t>
            </w:r>
            <w:r>
              <w:t>3</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2E59397E"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w:t>
      </w:r>
      <w:proofErr w:type="gramStart"/>
      <w:r w:rsidRPr="002A786B">
        <w:rPr>
          <w:color w:val="auto"/>
          <w:sz w:val="23"/>
          <w:szCs w:val="23"/>
        </w:rPr>
        <w:t>time-line</w:t>
      </w:r>
      <w:proofErr w:type="gramEnd"/>
      <w:r w:rsidRPr="002A786B">
        <w:rPr>
          <w:color w:val="auto"/>
          <w:sz w:val="23"/>
          <w:szCs w:val="23"/>
        </w:rPr>
        <w:t xml:space="preserv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 xml:space="preserve">The Quiet Period is the </w:t>
      </w:r>
      <w:proofErr w:type="gramStart"/>
      <w:r w:rsidRPr="0080617E">
        <w:rPr>
          <w:iCs/>
          <w:sz w:val="23"/>
          <w:szCs w:val="23"/>
        </w:rPr>
        <w:t>period of time</w:t>
      </w:r>
      <w:proofErr w:type="gramEnd"/>
      <w:r w:rsidRPr="0080617E">
        <w:rPr>
          <w:iCs/>
          <w:sz w:val="23"/>
          <w:szCs w:val="23"/>
        </w:rPr>
        <w:t xml:space="preserv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in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0E9DD72C" w14:textId="448B9824" w:rsidR="00B52B9A" w:rsidRDefault="00B52B9A"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3FF60BA6" w:rsidR="00EE482D" w:rsidRPr="00B55FC1" w:rsidRDefault="00EE482D" w:rsidP="00E4104C">
            <w:pPr>
              <w:pStyle w:val="Default"/>
              <w:jc w:val="center"/>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w:t>
            </w:r>
            <w:r w:rsidR="00E30C89">
              <w:rPr>
                <w:b/>
                <w:sz w:val="23"/>
                <w:szCs w:val="23"/>
              </w:rPr>
              <w:t>questions pertaining to this RFP</w:t>
            </w:r>
            <w:r w:rsidRPr="00B55FC1">
              <w:rPr>
                <w:b/>
                <w:sz w:val="23"/>
                <w:szCs w:val="23"/>
              </w:rPr>
              <w:t xml:space="preserve"> should only be submitted via email to: </w:t>
            </w:r>
            <w:hyperlink r:id="rId9" w:history="1">
              <w:r w:rsidR="00C33EEE" w:rsidRPr="00F8087B">
                <w:rPr>
                  <w:rStyle w:val="Hyperlink"/>
                  <w:b/>
                  <w:sz w:val="23"/>
                  <w:szCs w:val="23"/>
                </w:rPr>
                <w:t>oconnell@callan.com</w:t>
              </w:r>
            </w:hyperlink>
            <w:r>
              <w:rPr>
                <w:b/>
                <w:sz w:val="23"/>
                <w:szCs w:val="23"/>
              </w:rPr>
              <w:t xml:space="preserve"> and </w:t>
            </w:r>
            <w:r w:rsidRPr="00360CCC">
              <w:rPr>
                <w:b/>
                <w:sz w:val="23"/>
                <w:szCs w:val="23"/>
                <w:u w:val="single"/>
              </w:rPr>
              <w:t>CIO@fabf.org</w:t>
            </w:r>
          </w:p>
          <w:p w14:paraId="31058592" w14:textId="77777777" w:rsidR="00EE482D" w:rsidRPr="00B55FC1" w:rsidRDefault="00EE482D" w:rsidP="00E4104C">
            <w:pPr>
              <w:pStyle w:val="Default"/>
              <w:jc w:val="center"/>
              <w:rPr>
                <w:b/>
                <w:sz w:val="23"/>
                <w:szCs w:val="23"/>
              </w:rPr>
            </w:pPr>
          </w:p>
          <w:p w14:paraId="3BE1FF4A" w14:textId="1A15B0FC" w:rsidR="00EE482D" w:rsidRPr="00B55FC1" w:rsidRDefault="00EE482D" w:rsidP="00CC2E45">
            <w:pPr>
              <w:pStyle w:val="Default"/>
              <w:jc w:val="center"/>
              <w:rPr>
                <w:b/>
                <w:sz w:val="23"/>
                <w:szCs w:val="23"/>
              </w:rPr>
            </w:pPr>
            <w:r w:rsidRPr="00B55FC1">
              <w:rPr>
                <w:b/>
                <w:sz w:val="23"/>
                <w:szCs w:val="23"/>
              </w:rPr>
              <w:t>All inquiries must be received no later than</w:t>
            </w:r>
            <w:r>
              <w:rPr>
                <w:b/>
                <w:sz w:val="23"/>
                <w:szCs w:val="23"/>
              </w:rPr>
              <w:t xml:space="preserve"> </w:t>
            </w:r>
            <w:r w:rsidR="001D594E">
              <w:rPr>
                <w:b/>
                <w:sz w:val="23"/>
                <w:szCs w:val="23"/>
              </w:rPr>
              <w:t>November 4</w:t>
            </w:r>
            <w:r w:rsidR="007D0CED">
              <w:rPr>
                <w:b/>
                <w:sz w:val="23"/>
                <w:szCs w:val="23"/>
              </w:rPr>
              <w:t>, 2022</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1D594E">
              <w:rPr>
                <w:b/>
                <w:sz w:val="23"/>
                <w:szCs w:val="23"/>
              </w:rPr>
              <w:t>November 10</w:t>
            </w:r>
            <w:r w:rsidR="00D63685">
              <w:rPr>
                <w:b/>
                <w:sz w:val="23"/>
                <w:szCs w:val="23"/>
              </w:rPr>
              <w:t>,</w:t>
            </w:r>
            <w:r w:rsidR="007D0CED">
              <w:rPr>
                <w:b/>
                <w:sz w:val="23"/>
                <w:szCs w:val="23"/>
              </w:rPr>
              <w:t xml:space="preserve"> 2022</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lastRenderedPageBreak/>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66E45187"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w:t>
            </w:r>
            <w:r w:rsidR="00366F6F">
              <w:rPr>
                <w:b/>
                <w:sz w:val="23"/>
                <w:szCs w:val="23"/>
              </w:rPr>
              <w:t xml:space="preserve">of </w:t>
            </w:r>
            <w:proofErr w:type="gramStart"/>
            <w:r w:rsidR="00366F6F">
              <w:rPr>
                <w:b/>
                <w:sz w:val="23"/>
                <w:szCs w:val="23"/>
              </w:rPr>
              <w:t>a</w:t>
            </w:r>
            <w:proofErr w:type="gramEnd"/>
            <w:r w:rsidR="00366F6F">
              <w:rPr>
                <w:b/>
                <w:sz w:val="23"/>
                <w:szCs w:val="23"/>
              </w:rPr>
              <w:t xml:space="preserve"> RFP submission </w:t>
            </w:r>
            <w:r w:rsidR="003B7AB7" w:rsidRPr="003546FC">
              <w:rPr>
                <w:b/>
                <w:sz w:val="23"/>
                <w:szCs w:val="23"/>
              </w:rPr>
              <w:t xml:space="preserve">should be sent to </w:t>
            </w:r>
            <w:hyperlink r:id="rId10" w:history="1">
              <w:r w:rsidR="00C33EEE" w:rsidRPr="00F8087B">
                <w:rPr>
                  <w:rStyle w:val="Hyperlink"/>
                  <w:b/>
                  <w:sz w:val="23"/>
                  <w:szCs w:val="23"/>
                </w:rPr>
                <w:t>oconnell@callan.com</w:t>
              </w:r>
            </w:hyperlink>
            <w:r w:rsidR="00206BA8">
              <w:rPr>
                <w:b/>
                <w:sz w:val="23"/>
                <w:szCs w:val="23"/>
              </w:rPr>
              <w:t xml:space="preserve"> and </w:t>
            </w:r>
            <w:hyperlink r:id="rId11"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 xml:space="preserve">T, </w:t>
            </w:r>
            <w:r w:rsidR="001D594E">
              <w:rPr>
                <w:b/>
                <w:sz w:val="23"/>
                <w:szCs w:val="23"/>
              </w:rPr>
              <w:t>December 16</w:t>
            </w:r>
            <w:r w:rsidR="007D0CED">
              <w:rPr>
                <w:b/>
                <w:sz w:val="23"/>
                <w:szCs w:val="23"/>
              </w:rPr>
              <w:t>, 2022</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privileged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 xml:space="preserve">o </w:t>
      </w:r>
      <w:proofErr w:type="gramStart"/>
      <w:r w:rsidR="00684EDC">
        <w:rPr>
          <w:sz w:val="23"/>
          <w:szCs w:val="23"/>
        </w:rPr>
        <w:t>FOIA</w:t>
      </w:r>
      <w:proofErr w:type="gramEnd"/>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554E74B6" w14:textId="77777777" w:rsidR="00704C86" w:rsidRDefault="00704C86" w:rsidP="00B26CA1">
      <w:pPr>
        <w:pStyle w:val="Default"/>
        <w:keepNext/>
        <w:spacing w:after="200"/>
        <w:rPr>
          <w:i/>
          <w:iCs/>
          <w:sz w:val="28"/>
          <w:szCs w:val="28"/>
        </w:rPr>
      </w:pPr>
    </w:p>
    <w:p w14:paraId="200AFF50" w14:textId="56CAE740"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proofErr w:type="gramStart"/>
      <w:r w:rsidRPr="0080617E">
        <w:rPr>
          <w:iCs/>
          <w:sz w:val="23"/>
          <w:szCs w:val="23"/>
        </w:rPr>
        <w:t>In order to</w:t>
      </w:r>
      <w:proofErr w:type="gramEnd"/>
      <w:r w:rsidRPr="0080617E">
        <w:rPr>
          <w:iCs/>
          <w:sz w:val="23"/>
          <w:szCs w:val="23"/>
        </w:rPr>
        <w:t xml:space="preserve">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1" w:name="_Hlk91139713"/>
      <w:r>
        <w:rPr>
          <w:color w:val="000000"/>
          <w:sz w:val="23"/>
          <w:szCs w:val="23"/>
        </w:rPr>
        <w:t xml:space="preserve">nt </w:t>
      </w:r>
      <w:bookmarkStart w:id="2" w:name="_Hlk91139774"/>
      <w:r>
        <w:rPr>
          <w:color w:val="000000"/>
          <w:sz w:val="23"/>
          <w:szCs w:val="23"/>
        </w:rPr>
        <w:t xml:space="preserve">must agree in writing and without limitation to serve as a “fiduciary” to the Fund in accordance with the Illinois Pension Code (40 ILCS 5/1-101, et seq.) and to act in accordance with all </w:t>
      </w:r>
      <w:r>
        <w:rPr>
          <w:color w:val="000000"/>
          <w:sz w:val="23"/>
          <w:szCs w:val="23"/>
        </w:rPr>
        <w:lastRenderedPageBreak/>
        <w:t>requirements and standards of conduct applicable to fiduciaries (note: the fiduciary acknowledgement is required regardless of the proposed product’s structure</w:t>
      </w:r>
      <w:bookmarkEnd w:id="2"/>
      <w:r>
        <w:rPr>
          <w:color w:val="000000"/>
          <w:sz w:val="23"/>
          <w:szCs w:val="23"/>
        </w:rPr>
        <w:t>)</w:t>
      </w:r>
    </w:p>
    <w:bookmarkEnd w:id="1"/>
    <w:p w14:paraId="40EE9AA7" w14:textId="77777777" w:rsidR="00CB4C96" w:rsidRDefault="00CB4C96" w:rsidP="00CB4C96">
      <w:pPr>
        <w:pStyle w:val="ListParagraph"/>
        <w:rPr>
          <w:color w:val="000000"/>
          <w:sz w:val="23"/>
          <w:szCs w:val="23"/>
        </w:rPr>
      </w:pPr>
    </w:p>
    <w:p w14:paraId="141C7B83" w14:textId="56656296" w:rsidR="0043402C"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3" w:name="_Hlk91139893"/>
      <w:r w:rsidR="0043402C" w:rsidRPr="0080617E">
        <w:rPr>
          <w:color w:val="000000"/>
          <w:sz w:val="23"/>
          <w:szCs w:val="23"/>
        </w:rPr>
        <w:t>must have a documented</w:t>
      </w:r>
      <w:r w:rsidR="00FD3E7D">
        <w:rPr>
          <w:color w:val="000000"/>
          <w:sz w:val="23"/>
          <w:szCs w:val="23"/>
        </w:rPr>
        <w:t xml:space="preserve">, </w:t>
      </w:r>
      <w:proofErr w:type="gramStart"/>
      <w:r w:rsidR="00FD3E7D">
        <w:rPr>
          <w:color w:val="000000"/>
          <w:sz w:val="23"/>
          <w:szCs w:val="23"/>
        </w:rPr>
        <w:t>current</w:t>
      </w:r>
      <w:proofErr w:type="gramEnd"/>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981294" w:rsidRPr="00F570F2">
        <w:rPr>
          <w:b/>
          <w:bCs/>
          <w:color w:val="000000"/>
          <w:sz w:val="23"/>
          <w:szCs w:val="23"/>
        </w:rPr>
        <w:t>three</w:t>
      </w:r>
      <w:r w:rsidR="00981294">
        <w:rPr>
          <w:color w:val="000000"/>
          <w:sz w:val="23"/>
          <w:szCs w:val="23"/>
        </w:rPr>
        <w:t xml:space="preserve"> (3</w:t>
      </w:r>
      <w:r w:rsidR="00CB4C96">
        <w:rPr>
          <w:color w:val="000000"/>
          <w:sz w:val="23"/>
          <w:szCs w:val="23"/>
        </w:rPr>
        <w:t>) years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w:t>
      </w:r>
      <w:bookmarkEnd w:id="3"/>
      <w:r w:rsidR="00640989">
        <w:rPr>
          <w:color w:val="000000"/>
          <w:sz w:val="23"/>
          <w:szCs w:val="23"/>
        </w:rPr>
        <w:t>U.S. equity small/mid cap value portfolios</w:t>
      </w:r>
      <w:r w:rsidR="00E9678C">
        <w:rPr>
          <w:color w:val="000000"/>
          <w:sz w:val="23"/>
          <w:szCs w:val="23"/>
        </w:rPr>
        <w:t>.</w:t>
      </w:r>
    </w:p>
    <w:p w14:paraId="3AD80F3F" w14:textId="77777777" w:rsidR="00F570F2" w:rsidRDefault="00F570F2" w:rsidP="00F570F2">
      <w:pPr>
        <w:pStyle w:val="ListParagraph"/>
        <w:rPr>
          <w:color w:val="000000"/>
          <w:sz w:val="23"/>
          <w:szCs w:val="23"/>
        </w:rPr>
      </w:pPr>
    </w:p>
    <w:p w14:paraId="32261891" w14:textId="30ED158C" w:rsidR="00F570F2" w:rsidRDefault="00F570F2" w:rsidP="00CA172A">
      <w:pPr>
        <w:numPr>
          <w:ilvl w:val="0"/>
          <w:numId w:val="4"/>
        </w:numPr>
        <w:tabs>
          <w:tab w:val="clear" w:pos="720"/>
          <w:tab w:val="num" w:pos="360"/>
        </w:tabs>
        <w:ind w:left="360"/>
        <w:rPr>
          <w:color w:val="000000"/>
          <w:sz w:val="23"/>
          <w:szCs w:val="23"/>
        </w:rPr>
      </w:pPr>
      <w:r>
        <w:rPr>
          <w:color w:val="000000"/>
          <w:sz w:val="23"/>
          <w:szCs w:val="23"/>
        </w:rPr>
        <w:t xml:space="preserve">Respondent must manage a minimum of </w:t>
      </w:r>
      <w:r w:rsidRPr="00F570F2">
        <w:rPr>
          <w:b/>
          <w:bCs/>
          <w:color w:val="000000"/>
          <w:sz w:val="23"/>
          <w:szCs w:val="23"/>
        </w:rPr>
        <w:t>$</w:t>
      </w:r>
      <w:r w:rsidR="00640989">
        <w:rPr>
          <w:b/>
          <w:bCs/>
          <w:color w:val="000000"/>
          <w:sz w:val="23"/>
          <w:szCs w:val="23"/>
        </w:rPr>
        <w:t>500 million</w:t>
      </w:r>
      <w:r>
        <w:rPr>
          <w:color w:val="000000"/>
          <w:sz w:val="23"/>
          <w:szCs w:val="23"/>
        </w:rPr>
        <w:t xml:space="preserve"> in </w:t>
      </w:r>
      <w:r w:rsidR="00640989">
        <w:rPr>
          <w:color w:val="000000"/>
          <w:sz w:val="23"/>
          <w:szCs w:val="23"/>
        </w:rPr>
        <w:t>U.S. small/mid cap value equity assets</w:t>
      </w:r>
      <w:r>
        <w:rPr>
          <w:color w:val="000000"/>
          <w:sz w:val="23"/>
          <w:szCs w:val="23"/>
        </w:rPr>
        <w:t xml:space="preserve">. </w:t>
      </w:r>
      <w:bookmarkStart w:id="4" w:name="_Hlk97711736"/>
      <w:r w:rsidR="00B63DCC">
        <w:t>Assets managed in dedicated small value mandates can be included if managed by the same team that manages the small/mid cap value strategy.</w:t>
      </w:r>
      <w:r w:rsidR="00B63DCC">
        <w:rPr>
          <w:color w:val="000000"/>
          <w:sz w:val="23"/>
          <w:szCs w:val="23"/>
        </w:rPr>
        <w:t xml:space="preserve"> </w:t>
      </w:r>
      <w:r>
        <w:rPr>
          <w:color w:val="000000"/>
          <w:sz w:val="23"/>
          <w:szCs w:val="23"/>
        </w:rPr>
        <w:t>(Qualified Women, Minority, or Disabled Owned Businesses are exempt and will be evaluated for further consideration at the Fund’s discretion.)</w:t>
      </w:r>
      <w:bookmarkEnd w:id="4"/>
    </w:p>
    <w:p w14:paraId="4596FAC0" w14:textId="63CC74E0" w:rsidR="00583954" w:rsidRPr="00640989" w:rsidRDefault="00583954" w:rsidP="00640989">
      <w:pPr>
        <w:rPr>
          <w:color w:val="000000"/>
          <w:sz w:val="23"/>
          <w:szCs w:val="23"/>
        </w:rPr>
      </w:pPr>
    </w:p>
    <w:p w14:paraId="5C5506C8" w14:textId="5F716372" w:rsidR="002B2E4D" w:rsidRDefault="002B2E4D" w:rsidP="00CA172A">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004655D3" w:rsidRPr="00945068">
        <w:rPr>
          <w:sz w:val="23"/>
          <w:szCs w:val="23"/>
        </w:rPr>
        <w:t>2</w:t>
      </w:r>
      <w:r w:rsidRPr="00945068">
        <w:rPr>
          <w:sz w:val="23"/>
          <w:szCs w:val="23"/>
        </w:rPr>
        <w:t>0</w:t>
      </w:r>
      <w:r>
        <w:rPr>
          <w:color w:val="000000"/>
          <w:sz w:val="23"/>
          <w:szCs w:val="23"/>
        </w:rPr>
        <w:t xml:space="preserve">% of the </w:t>
      </w:r>
      <w:r w:rsidR="006A599E">
        <w:rPr>
          <w:color w:val="000000"/>
          <w:sz w:val="23"/>
          <w:szCs w:val="23"/>
        </w:rPr>
        <w:t>Respondent</w:t>
      </w:r>
      <w:r>
        <w:rPr>
          <w:color w:val="000000"/>
          <w:sz w:val="23"/>
          <w:szCs w:val="23"/>
        </w:rPr>
        <w:t xml:space="preserve">’s total firm assets or </w:t>
      </w:r>
      <w:r w:rsidR="00945068" w:rsidRPr="00945068">
        <w:rPr>
          <w:sz w:val="23"/>
          <w:szCs w:val="23"/>
        </w:rPr>
        <w:t>20</w:t>
      </w:r>
      <w:r w:rsidR="00945068">
        <w:rPr>
          <w:color w:val="000000"/>
          <w:sz w:val="23"/>
          <w:szCs w:val="23"/>
        </w:rPr>
        <w:t xml:space="preserve">% </w:t>
      </w:r>
      <w:r>
        <w:rPr>
          <w:color w:val="000000"/>
          <w:sz w:val="23"/>
          <w:szCs w:val="23"/>
        </w:rPr>
        <w:t>of the proposed strategy total assets</w:t>
      </w:r>
      <w:r w:rsidR="00C12B48">
        <w:rPr>
          <w:color w:val="000000"/>
          <w:sz w:val="23"/>
          <w:szCs w:val="23"/>
        </w:rPr>
        <w:t xml:space="preserve"> </w:t>
      </w:r>
      <w:r w:rsidR="00AA1526">
        <w:rPr>
          <w:color w:val="000000"/>
          <w:sz w:val="23"/>
          <w:szCs w:val="23"/>
        </w:rPr>
        <w:t xml:space="preserve">(including same team managed small value mandates) </w:t>
      </w:r>
      <w:r w:rsidR="00C12B48">
        <w:rPr>
          <w:color w:val="000000"/>
          <w:sz w:val="23"/>
          <w:szCs w:val="23"/>
        </w:rPr>
        <w:t>as of the date of Certification</w:t>
      </w:r>
      <w:r>
        <w:rPr>
          <w:color w:val="000000"/>
          <w:sz w:val="23"/>
          <w:szCs w:val="23"/>
        </w:rPr>
        <w:t>.</w:t>
      </w:r>
      <w:r w:rsidR="004404B1">
        <w:rPr>
          <w:color w:val="000000"/>
          <w:sz w:val="23"/>
          <w:szCs w:val="23"/>
        </w:rPr>
        <w:t xml:space="preserve"> </w:t>
      </w:r>
      <w:r w:rsidR="00F570F2">
        <w:rPr>
          <w:color w:val="000000"/>
          <w:sz w:val="23"/>
          <w:szCs w:val="23"/>
        </w:rPr>
        <w:t>(</w:t>
      </w:r>
      <w:r w:rsidR="004404B1">
        <w:rPr>
          <w:color w:val="000000"/>
          <w:sz w:val="23"/>
          <w:szCs w:val="23"/>
        </w:rPr>
        <w:t>Qualified Women, Minority, or Disabled Owned Businesses are exempt and will be evaluated for further consideration at the Fund’s discretion.</w:t>
      </w:r>
      <w:r w:rsidR="00F570F2">
        <w:rPr>
          <w:color w:val="000000"/>
          <w:sz w:val="23"/>
          <w:szCs w:val="23"/>
        </w:rPr>
        <w:t>)</w:t>
      </w:r>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p w14:paraId="28AA5C16" w14:textId="128CCD84" w:rsidR="0091464C" w:rsidRDefault="0091464C" w:rsidP="007D0CED">
      <w:pPr>
        <w:rPr>
          <w:color w:val="000000"/>
          <w:sz w:val="23"/>
          <w:szCs w:val="23"/>
        </w:rPr>
      </w:pPr>
    </w:p>
    <w:p w14:paraId="3EB4F7F3" w14:textId="35ACB13B" w:rsidR="00D465FE" w:rsidRPr="0091464C" w:rsidRDefault="00D465FE" w:rsidP="007D0CED">
      <w:pPr>
        <w:rPr>
          <w:i/>
          <w:iCs/>
          <w:sz w:val="18"/>
          <w:szCs w:val="18"/>
        </w:rPr>
      </w:pP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proofErr w:type="gramStart"/>
      <w:r w:rsidRPr="0080617E">
        <w:rPr>
          <w:iCs/>
          <w:sz w:val="23"/>
          <w:szCs w:val="23"/>
        </w:rPr>
        <w:t>In order to</w:t>
      </w:r>
      <w:proofErr w:type="gramEnd"/>
      <w:r w:rsidRPr="0080617E">
        <w:rPr>
          <w:iCs/>
          <w:sz w:val="23"/>
          <w:szCs w:val="23"/>
        </w:rPr>
        <w:t xml:space="preserve">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2F4C2AD1" w14:textId="44A76539" w:rsidR="006716EC" w:rsidRDefault="006716EC" w:rsidP="00162B81">
      <w:pPr>
        <w:rPr>
          <w:sz w:val="18"/>
          <w:szCs w:val="18"/>
        </w:rPr>
      </w:pPr>
    </w:p>
    <w:p w14:paraId="64E31937" w14:textId="7289A93D" w:rsidR="00793E2C" w:rsidRDefault="00793E2C" w:rsidP="00162B81">
      <w:pPr>
        <w:rPr>
          <w:sz w:val="18"/>
          <w:szCs w:val="18"/>
        </w:rPr>
      </w:pPr>
    </w:p>
    <w:p w14:paraId="4DB7DBB1" w14:textId="79A85652" w:rsidR="00FA1C09" w:rsidRDefault="00FA1C09" w:rsidP="00162B81">
      <w:pPr>
        <w:rPr>
          <w:sz w:val="18"/>
          <w:szCs w:val="18"/>
        </w:rPr>
      </w:pP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1BA94803" w:rsidR="002B51D5" w:rsidRPr="0091464C" w:rsidRDefault="004B3BAD" w:rsidP="002B51D5">
      <w:pPr>
        <w:rPr>
          <w:i/>
          <w:iCs/>
          <w:sz w:val="18"/>
          <w:szCs w:val="18"/>
        </w:rPr>
      </w:pPr>
      <w:r>
        <w:rPr>
          <w:i/>
          <w:iCs/>
          <w:sz w:val="18"/>
          <w:szCs w:val="18"/>
        </w:rPr>
        <w:object w:dxaOrig="1538" w:dyaOrig="993" w14:anchorId="7534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bat.Document.DC" ShapeID="_x0000_i1025" DrawAspect="Icon" ObjectID="_1731826581" r:id="rId13"/>
        </w:object>
      </w:r>
      <w:r w:rsidR="001B00F0">
        <w:rPr>
          <w:i/>
          <w:iCs/>
          <w:sz w:val="18"/>
          <w:szCs w:val="18"/>
        </w:rPr>
        <w:tab/>
      </w:r>
      <w:r w:rsidR="00192761">
        <w:rPr>
          <w:i/>
          <w:iCs/>
          <w:sz w:val="18"/>
          <w:szCs w:val="18"/>
        </w:rPr>
        <w:object w:dxaOrig="1537" w:dyaOrig="997" w14:anchorId="483C6199">
          <v:shape id="_x0000_i1026" type="#_x0000_t75" style="width:76.5pt;height:49.5pt" o:ole="">
            <v:imagedata r:id="rId14" o:title=""/>
          </v:shape>
          <o:OLEObject Type="Embed" ProgID="Acrobat.Document.DC" ShapeID="_x0000_i1026" DrawAspect="Icon" ObjectID="_1731826582" r:id="rId15"/>
        </w:object>
      </w:r>
      <w:r>
        <w:rPr>
          <w:i/>
          <w:iCs/>
          <w:sz w:val="18"/>
          <w:szCs w:val="18"/>
        </w:rPr>
        <w:tab/>
      </w:r>
    </w:p>
    <w:p w14:paraId="787B246B" w14:textId="4F3F184F" w:rsidR="006F1881" w:rsidRDefault="006F1881" w:rsidP="0080617E">
      <w:pPr>
        <w:pStyle w:val="Default"/>
        <w:spacing w:after="200"/>
        <w:rPr>
          <w:i/>
          <w:iCs/>
          <w:sz w:val="28"/>
          <w:szCs w:val="28"/>
        </w:rPr>
      </w:pPr>
    </w:p>
    <w:p w14:paraId="5824A253" w14:textId="0AFF1FFF" w:rsidR="0043402C" w:rsidRPr="0080617E" w:rsidRDefault="00690A47" w:rsidP="0080617E">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w:t>
      </w:r>
      <w:proofErr w:type="gramStart"/>
      <w:r w:rsidR="00690A47" w:rsidRPr="0080617E">
        <w:rPr>
          <w:iCs/>
          <w:sz w:val="23"/>
          <w:szCs w:val="23"/>
        </w:rPr>
        <w:t>staff</w:t>
      </w:r>
      <w:proofErr w:type="gramEnd"/>
      <w:r w:rsidR="00690A47" w:rsidRPr="0080617E">
        <w:rPr>
          <w:iCs/>
          <w:sz w:val="23"/>
          <w:szCs w:val="23"/>
        </w:rPr>
        <w:t xml:space="preserve">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proofErr w:type="gramStart"/>
      <w:r w:rsidR="0043488B">
        <w:rPr>
          <w:iCs/>
          <w:sz w:val="23"/>
          <w:szCs w:val="23"/>
        </w:rPr>
        <w:t>women</w:t>
      </w:r>
      <w:proofErr w:type="gramEnd"/>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sidR="00B01D43">
        <w:rPr>
          <w:iCs/>
          <w:sz w:val="23"/>
          <w:szCs w:val="23"/>
        </w:rPr>
        <w:t>c</w:t>
      </w:r>
      <w:r>
        <w:rPr>
          <w:iCs/>
          <w:sz w:val="23"/>
          <w:szCs w:val="23"/>
        </w:rPr>
        <w:t xml:space="preserve">onsultant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r w:rsidR="00B01D43">
        <w:rPr>
          <w:iCs/>
          <w:sz w:val="23"/>
          <w:szCs w:val="23"/>
        </w:rPr>
        <w:t>c</w:t>
      </w:r>
      <w:r w:rsidR="00C730C9">
        <w:rPr>
          <w:iCs/>
          <w:sz w:val="23"/>
          <w:szCs w:val="23"/>
        </w:rPr>
        <w:t xml:space="preserve">onsultant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bookmarkStart w:id="5" w:name="_Hlk117070991"/>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3A6E451A"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2F4DAC">
              <w:rPr>
                <w:sz w:val="23"/>
                <w:szCs w:val="23"/>
                <w:u w:val="single"/>
              </w:rPr>
              <w:t>September 30</w:t>
            </w:r>
            <w:r w:rsidR="00186FCD" w:rsidRPr="00186FCD">
              <w:rPr>
                <w:sz w:val="23"/>
                <w:szCs w:val="23"/>
                <w:u w:val="single"/>
              </w:rPr>
              <w:t>, 202</w:t>
            </w:r>
            <w:r w:rsidR="008440BC">
              <w:rPr>
                <w:sz w:val="23"/>
                <w:szCs w:val="23"/>
                <w:u w:val="single"/>
              </w:rPr>
              <w:t>2</w:t>
            </w:r>
            <w:r w:rsidR="00A241FB">
              <w:rPr>
                <w:sz w:val="23"/>
                <w:szCs w:val="23"/>
                <w:u w:val="single"/>
              </w:rPr>
              <w:t>.</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16"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bookmarkEnd w:id="5"/>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Pr="0080617E" w:rsidRDefault="008A36CE"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The Fund is established to provide</w:t>
      </w:r>
      <w:r w:rsidR="004C0737" w:rsidRPr="0080617E">
        <w:rPr>
          <w:iCs/>
          <w:sz w:val="23"/>
          <w:szCs w:val="23"/>
        </w:rPr>
        <w:t xml:space="preserve"> for the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place">
        <w:smartTag w:uri="urn:schemas-microsoft-com:office:smarttags" w:element="City">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563485CF"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1D594E">
        <w:rPr>
          <w:iCs/>
          <w:sz w:val="23"/>
          <w:szCs w:val="23"/>
        </w:rPr>
        <w:t>d by the Fund at the end of September 30, 2022</w:t>
      </w:r>
      <w:r w:rsidR="00D847EF">
        <w:rPr>
          <w:iCs/>
          <w:sz w:val="23"/>
          <w:szCs w:val="23"/>
        </w:rPr>
        <w:t xml:space="preserve"> were</w:t>
      </w:r>
      <w:r w:rsidR="00A3479C">
        <w:rPr>
          <w:iCs/>
          <w:sz w:val="23"/>
          <w:szCs w:val="23"/>
        </w:rPr>
        <w:t xml:space="preserve"> </w:t>
      </w:r>
      <w:r w:rsidR="00DD1E04">
        <w:rPr>
          <w:iCs/>
          <w:sz w:val="23"/>
          <w:szCs w:val="23"/>
        </w:rPr>
        <w:t>$</w:t>
      </w:r>
      <w:r w:rsidR="001D594E">
        <w:rPr>
          <w:iCs/>
          <w:sz w:val="23"/>
          <w:szCs w:val="23"/>
        </w:rPr>
        <w:t>840</w:t>
      </w:r>
      <w:r w:rsidR="00DD1E04">
        <w:rPr>
          <w:iCs/>
          <w:sz w:val="23"/>
          <w:szCs w:val="23"/>
        </w:rPr>
        <w:t xml:space="preserve"> </w:t>
      </w:r>
      <w:r w:rsidR="001D594E">
        <w:rPr>
          <w:iCs/>
          <w:sz w:val="23"/>
          <w:szCs w:val="23"/>
        </w:rPr>
        <w:t>m</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1D594E">
        <w:rPr>
          <w:iCs/>
          <w:sz w:val="23"/>
          <w:szCs w:val="23"/>
        </w:rPr>
        <w:t xml:space="preserve"> September 30, 2022</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4F405856" w:rsidR="00DD1E04" w:rsidRDefault="00192761" w:rsidP="00855DBA">
      <w:pPr>
        <w:pStyle w:val="Default"/>
        <w:ind w:firstLine="1"/>
        <w:rPr>
          <w:iCs/>
          <w:sz w:val="23"/>
          <w:szCs w:val="23"/>
        </w:rPr>
      </w:pPr>
      <w:r>
        <w:rPr>
          <w:iCs/>
          <w:sz w:val="23"/>
          <w:szCs w:val="23"/>
        </w:rPr>
        <w:tab/>
        <w:t>Real Assets</w:t>
      </w:r>
      <w:r w:rsidR="00DD1E04">
        <w:rPr>
          <w:iCs/>
          <w:sz w:val="23"/>
          <w:szCs w:val="23"/>
        </w:rPr>
        <w:t>:</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Pr="0080617E" w:rsidRDefault="004C0737"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1CA9F350"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r w:rsidR="00640989">
        <w:rPr>
          <w:iCs/>
          <w:sz w:val="23"/>
          <w:szCs w:val="23"/>
        </w:rPr>
        <w:t xml:space="preserve"> Please do not include external links to access the requested documents.</w:t>
      </w:r>
    </w:p>
    <w:p w14:paraId="007445DB" w14:textId="01D41173" w:rsidR="00231D41" w:rsidRDefault="00231D41" w:rsidP="00AF38A0">
      <w:pPr>
        <w:pStyle w:val="Default"/>
        <w:ind w:firstLine="1"/>
        <w:rPr>
          <w:iCs/>
          <w:sz w:val="23"/>
          <w:szCs w:val="23"/>
        </w:rPr>
      </w:pPr>
    </w:p>
    <w:p w14:paraId="3FAE0ED7" w14:textId="137C3271" w:rsidR="007A5A6B" w:rsidRDefault="007A5A6B" w:rsidP="00AF38A0">
      <w:pPr>
        <w:pStyle w:val="Default"/>
        <w:ind w:firstLine="1"/>
        <w:rPr>
          <w:iCs/>
          <w:sz w:val="23"/>
          <w:szCs w:val="23"/>
        </w:rPr>
      </w:pPr>
    </w:p>
    <w:p w14:paraId="1EA7C57C" w14:textId="77777777" w:rsidR="007A5A6B" w:rsidRDefault="007A5A6B" w:rsidP="00AF38A0">
      <w:pPr>
        <w:pStyle w:val="Default"/>
        <w:ind w:firstLine="1"/>
        <w:rPr>
          <w:iCs/>
          <w:sz w:val="23"/>
          <w:szCs w:val="23"/>
        </w:rPr>
      </w:pPr>
    </w:p>
    <w:p w14:paraId="07A89F7B" w14:textId="77777777" w:rsidR="00622948" w:rsidRDefault="00231D41" w:rsidP="00231D41">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862E795" w14:textId="7842C14E" w:rsidR="00FD1024" w:rsidRPr="00DC1FF1" w:rsidRDefault="00562772" w:rsidP="00622948">
      <w:pPr>
        <w:pStyle w:val="Default"/>
        <w:spacing w:before="60" w:after="60"/>
        <w:rPr>
          <w:color w:val="auto"/>
          <w:sz w:val="23"/>
          <w:szCs w:val="23"/>
        </w:rPr>
      </w:pPr>
      <w:r>
        <w:rPr>
          <w:color w:val="auto"/>
          <w:sz w:val="23"/>
          <w:szCs w:val="23"/>
        </w:rPr>
        <w:t xml:space="preserve"> </w:t>
      </w:r>
      <w:r w:rsidR="00FD1024" w:rsidRPr="00FD1024">
        <w:rPr>
          <w:i/>
          <w:color w:val="auto"/>
          <w:sz w:val="23"/>
          <w:szCs w:val="23"/>
        </w:rPr>
        <w:t xml:space="preserve"> </w:t>
      </w:r>
    </w:p>
    <w:p w14:paraId="355B3990" w14:textId="4B1FDC9A"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p>
    <w:bookmarkStart w:id="6" w:name="_MON_1727858434"/>
    <w:bookmarkEnd w:id="6"/>
    <w:p w14:paraId="11EEADC6" w14:textId="49BCA885" w:rsidR="00DC1FF1" w:rsidRDefault="00D04A61" w:rsidP="00622948">
      <w:pPr>
        <w:pStyle w:val="Default"/>
        <w:spacing w:before="60" w:after="60"/>
        <w:rPr>
          <w:color w:val="auto"/>
          <w:sz w:val="23"/>
          <w:szCs w:val="23"/>
        </w:rPr>
      </w:pPr>
      <w:r>
        <w:rPr>
          <w:color w:val="auto"/>
          <w:sz w:val="23"/>
          <w:szCs w:val="23"/>
        </w:rPr>
        <w:object w:dxaOrig="1538" w:dyaOrig="993" w14:anchorId="6599E369">
          <v:shape id="_x0000_i1027" type="#_x0000_t75" style="width:77.25pt;height:49.5pt" o:ole="">
            <v:imagedata r:id="rId17" o:title=""/>
          </v:shape>
          <o:OLEObject Type="Embed" ProgID="Word.Document.12" ShapeID="_x0000_i1027" DrawAspect="Icon" ObjectID="_1731826583" r:id="rId18">
            <o:FieldCodes>\s</o:FieldCodes>
          </o:OLEObject>
        </w:object>
      </w:r>
    </w:p>
    <w:p w14:paraId="07BC1B83" w14:textId="180930F8"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p w14:paraId="231C7BBB" w14:textId="73D30CAE" w:rsidR="00FF76A5" w:rsidRPr="00FF76A5" w:rsidRDefault="00664CC2" w:rsidP="00DC1FF1">
      <w:pPr>
        <w:pStyle w:val="Default"/>
        <w:rPr>
          <w:iCs/>
          <w:sz w:val="23"/>
          <w:szCs w:val="23"/>
        </w:rPr>
      </w:pPr>
      <w:r>
        <w:rPr>
          <w:iCs/>
          <w:sz w:val="23"/>
          <w:szCs w:val="23"/>
        </w:rPr>
        <w:tab/>
      </w:r>
      <w:bookmarkStart w:id="7" w:name="_MON_1727684084"/>
      <w:bookmarkEnd w:id="7"/>
      <w:r w:rsidR="00192761">
        <w:rPr>
          <w:iCs/>
          <w:sz w:val="23"/>
          <w:szCs w:val="23"/>
        </w:rPr>
        <w:object w:dxaOrig="1537" w:dyaOrig="997" w14:anchorId="29F916CE">
          <v:shape id="_x0000_i1028" type="#_x0000_t75" style="width:76.5pt;height:49.5pt" o:ole="">
            <v:imagedata r:id="rId19" o:title=""/>
          </v:shape>
          <o:OLEObject Type="Embed" ProgID="Word.Document.12" ShapeID="_x0000_i1028" DrawAspect="Icon" ObjectID="_1731826584" r:id="rId20">
            <o:FieldCodes>\s</o:FieldCodes>
          </o:OLEObject>
        </w:object>
      </w:r>
      <w:r w:rsidR="0015253C">
        <w:rPr>
          <w:iCs/>
          <w:sz w:val="23"/>
          <w:szCs w:val="23"/>
        </w:rPr>
        <w:tab/>
      </w:r>
      <w:r w:rsidR="0015253C">
        <w:rPr>
          <w:iCs/>
          <w:sz w:val="23"/>
          <w:szCs w:val="23"/>
        </w:rPr>
        <w:object w:dxaOrig="1537" w:dyaOrig="997" w14:anchorId="029A5425">
          <v:shape id="_x0000_i1029" type="#_x0000_t75" style="width:76.5pt;height:49.5pt" o:ole="">
            <v:imagedata r:id="rId21" o:title=""/>
          </v:shape>
          <o:OLEObject Type="Embed" ProgID="Excel.Sheet.12" ShapeID="_x0000_i1029" DrawAspect="Icon" ObjectID="_1731826585" r:id="rId22"/>
        </w:object>
      </w:r>
    </w:p>
    <w:p w14:paraId="7F9FB79B" w14:textId="0E4EBCFD" w:rsidR="00E256BC" w:rsidRDefault="00E256BC" w:rsidP="00AF38A0">
      <w:pPr>
        <w:pStyle w:val="Default"/>
        <w:rPr>
          <w:color w:val="auto"/>
          <w:spacing w:val="-3"/>
          <w:sz w:val="23"/>
          <w:szCs w:val="23"/>
        </w:rPr>
      </w:pPr>
      <w:r>
        <w:rPr>
          <w:color w:val="auto"/>
          <w:spacing w:val="-3"/>
          <w:sz w:val="23"/>
          <w:szCs w:val="23"/>
        </w:rPr>
        <w:tab/>
      </w:r>
    </w:p>
    <w:p w14:paraId="345E61EC" w14:textId="4A825F28"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p>
    <w:p w14:paraId="525068DB" w14:textId="77777777" w:rsidR="0091464C" w:rsidRDefault="0091464C" w:rsidP="00460F4F">
      <w:pPr>
        <w:pStyle w:val="Default"/>
        <w:ind w:firstLine="1"/>
        <w:rPr>
          <w:color w:val="auto"/>
          <w:sz w:val="23"/>
          <w:szCs w:val="23"/>
        </w:rPr>
      </w:pPr>
    </w:p>
    <w:bookmarkStart w:id="8" w:name="_MON_1727683835"/>
    <w:bookmarkEnd w:id="8"/>
    <w:p w14:paraId="59BF4D8D" w14:textId="16E3BC5F" w:rsidR="0091464C" w:rsidRDefault="00192761" w:rsidP="00A32066">
      <w:pPr>
        <w:pStyle w:val="Default"/>
        <w:keepNext/>
        <w:spacing w:after="200"/>
        <w:rPr>
          <w:i/>
          <w:iCs/>
          <w:sz w:val="28"/>
          <w:szCs w:val="28"/>
        </w:rPr>
      </w:pPr>
      <w:r>
        <w:rPr>
          <w:i/>
          <w:iCs/>
          <w:sz w:val="28"/>
          <w:szCs w:val="28"/>
        </w:rPr>
        <w:object w:dxaOrig="1537" w:dyaOrig="997" w14:anchorId="3D423DD9">
          <v:shape id="_x0000_i1030" type="#_x0000_t75" style="width:76.5pt;height:49.5pt" o:ole="">
            <v:imagedata r:id="rId23" o:title=""/>
          </v:shape>
          <o:OLEObject Type="Embed" ProgID="Word.Document.12" ShapeID="_x0000_i1030" DrawAspect="Icon" ObjectID="_1731826586" r:id="rId24">
            <o:FieldCodes>\s</o:FieldCodes>
          </o:OLEObject>
        </w:object>
      </w: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lastRenderedPageBreak/>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A3932AE" w:rsidR="00A32066" w:rsidRDefault="00A32066" w:rsidP="00A32066">
      <w:pPr>
        <w:pStyle w:val="Default"/>
        <w:rPr>
          <w:sz w:val="23"/>
          <w:szCs w:val="23"/>
        </w:rPr>
      </w:pPr>
      <w:r w:rsidRPr="00A32066">
        <w:rPr>
          <w:sz w:val="23"/>
          <w:szCs w:val="23"/>
        </w:rPr>
        <w:t>The General Partner acknowledges it is a fiduciary to the</w:t>
      </w:r>
      <w:r w:rsidR="00640989">
        <w:rPr>
          <w:sz w:val="23"/>
          <w:szCs w:val="23"/>
        </w:rPr>
        <w:t xml:space="preserve"> Fund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72A2B5E0" w:rsidR="00A32066" w:rsidRPr="0080617E" w:rsidRDefault="00A32066" w:rsidP="00A32066">
      <w:pPr>
        <w:pStyle w:val="Default"/>
        <w:ind w:firstLine="1"/>
        <w:rPr>
          <w:iCs/>
          <w:sz w:val="23"/>
          <w:szCs w:val="23"/>
          <w:u w:val="single"/>
        </w:rPr>
      </w:pPr>
      <w:r>
        <w:rPr>
          <w:iCs/>
          <w:sz w:val="23"/>
          <w:szCs w:val="23"/>
          <w:u w:val="single"/>
        </w:rPr>
        <w:t xml:space="preserve">6.2 </w:t>
      </w:r>
      <w:r w:rsidR="0015253C">
        <w:rPr>
          <w:iCs/>
          <w:caps/>
          <w:sz w:val="23"/>
          <w:szCs w:val="23"/>
          <w:u w:val="single"/>
        </w:rPr>
        <w:t>Sample INVESTMENT MANAGEMENT AGREEMENT</w:t>
      </w:r>
      <w:r w:rsidRPr="00A32066">
        <w:rPr>
          <w:iCs/>
          <w:caps/>
          <w:sz w:val="23"/>
          <w:szCs w:val="23"/>
          <w:u w:val="single"/>
        </w:rPr>
        <w:t xml:space="preserve"> </w:t>
      </w:r>
    </w:p>
    <w:p w14:paraId="01F4918F" w14:textId="61CBF255" w:rsidR="00A32066" w:rsidRPr="00A32066" w:rsidRDefault="00A32066" w:rsidP="00A32066">
      <w:pPr>
        <w:pStyle w:val="Default"/>
        <w:rPr>
          <w:sz w:val="23"/>
          <w:szCs w:val="23"/>
        </w:rPr>
      </w:pPr>
    </w:p>
    <w:p w14:paraId="36ECF9E9" w14:textId="1150D178" w:rsidR="00D771E9" w:rsidRPr="0080617E" w:rsidRDefault="0003426C" w:rsidP="00A32066">
      <w:pPr>
        <w:pStyle w:val="Default"/>
        <w:rPr>
          <w:color w:val="auto"/>
          <w:sz w:val="23"/>
          <w:szCs w:val="23"/>
        </w:rPr>
      </w:pPr>
      <w:r>
        <w:rPr>
          <w:color w:val="auto"/>
          <w:sz w:val="23"/>
          <w:szCs w:val="23"/>
        </w:rPr>
        <w:t>The Fund’s</w:t>
      </w:r>
      <w:r w:rsidR="0015253C">
        <w:rPr>
          <w:color w:val="auto"/>
          <w:sz w:val="23"/>
          <w:szCs w:val="23"/>
        </w:rPr>
        <w:t xml:space="preserve"> sample standard Investment Management Agreement</w:t>
      </w:r>
      <w:r w:rsidR="00A32066" w:rsidRPr="00A32066">
        <w:rPr>
          <w:color w:val="auto"/>
          <w:sz w:val="23"/>
          <w:szCs w:val="23"/>
        </w:rPr>
        <w:t xml:space="preserve">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15253C">
        <w:rPr>
          <w:color w:val="auto"/>
          <w:sz w:val="23"/>
          <w:szCs w:val="23"/>
        </w:rPr>
        <w:t>agreement</w:t>
      </w:r>
      <w:r w:rsidR="00A32066" w:rsidRPr="00A32066">
        <w:rPr>
          <w:color w:val="auto"/>
          <w:sz w:val="23"/>
          <w:szCs w:val="23"/>
        </w:rPr>
        <w:t>. Additional provisions may be added after full review of legal documents and dependent on legal negotiations</w:t>
      </w:r>
      <w:r w:rsidR="0015253C">
        <w:rPr>
          <w:color w:val="auto"/>
          <w:sz w:val="23"/>
          <w:szCs w:val="23"/>
        </w:rPr>
        <w:t>.</w:t>
      </w:r>
    </w:p>
    <w:p w14:paraId="400D8658" w14:textId="6480A9B4" w:rsidR="009B21CE" w:rsidRDefault="009B21CE" w:rsidP="00460F4F">
      <w:pPr>
        <w:keepNext/>
        <w:keepLines/>
        <w:rPr>
          <w:iCs/>
          <w:sz w:val="23"/>
          <w:szCs w:val="23"/>
        </w:rPr>
      </w:pPr>
    </w:p>
    <w:bookmarkStart w:id="9" w:name="_MON_1727684511"/>
    <w:bookmarkEnd w:id="9"/>
    <w:p w14:paraId="36FB58AD" w14:textId="341F6DBA" w:rsidR="0015253C" w:rsidRDefault="0015253C" w:rsidP="00460F4F">
      <w:pPr>
        <w:keepNext/>
        <w:keepLines/>
        <w:rPr>
          <w:iCs/>
          <w:sz w:val="23"/>
          <w:szCs w:val="23"/>
        </w:rPr>
      </w:pPr>
      <w:r>
        <w:rPr>
          <w:iCs/>
          <w:sz w:val="23"/>
          <w:szCs w:val="23"/>
        </w:rPr>
        <w:object w:dxaOrig="1537" w:dyaOrig="997" w14:anchorId="34C1388F">
          <v:shape id="_x0000_i1031" type="#_x0000_t75" style="width:76.5pt;height:49.5pt" o:ole="">
            <v:imagedata r:id="rId25" o:title=""/>
          </v:shape>
          <o:OLEObject Type="Embed" ProgID="Word.Document.12" ShapeID="_x0000_i1031" DrawAspect="Icon" ObjectID="_1731826587" r:id="rId26">
            <o:FieldCodes>\s</o:FieldCodes>
          </o:OLEObject>
        </w:object>
      </w:r>
    </w:p>
    <w:p w14:paraId="61E7A8E5" w14:textId="1F59FD80" w:rsidR="009B21CE" w:rsidRPr="00793E2C" w:rsidRDefault="009B21CE" w:rsidP="00793E2C">
      <w:pPr>
        <w:keepNext/>
        <w:keepLines/>
        <w:rPr>
          <w:i/>
          <w:sz w:val="16"/>
          <w:szCs w:val="16"/>
        </w:rPr>
      </w:pP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B60CA15" w14:textId="77777777" w:rsidR="00460F4F" w:rsidRDefault="00460F4F" w:rsidP="00460F4F">
      <w:pPr>
        <w:pStyle w:val="Default"/>
        <w:rPr>
          <w:color w:val="auto"/>
          <w:spacing w:val="-3"/>
          <w:sz w:val="23"/>
          <w:szCs w:val="23"/>
        </w:rPr>
      </w:pPr>
    </w:p>
    <w:p w14:paraId="3D48FA44" w14:textId="66B37DD7" w:rsidR="00D170B1" w:rsidRPr="009B3A40" w:rsidRDefault="00D170B1" w:rsidP="00D170B1">
      <w:pPr>
        <w:tabs>
          <w:tab w:val="center" w:pos="4680"/>
        </w:tabs>
        <w:suppressAutoHyphens/>
      </w:pPr>
    </w:p>
    <w:sectPr w:rsidR="00D170B1" w:rsidRPr="009B3A40" w:rsidSect="00DC1FF1">
      <w:headerReference w:type="first" r:id="rId27"/>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C34B" w14:textId="77777777" w:rsidR="00F40512" w:rsidRDefault="00F40512">
      <w:r>
        <w:separator/>
      </w:r>
    </w:p>
  </w:endnote>
  <w:endnote w:type="continuationSeparator" w:id="0">
    <w:p w14:paraId="5ACCE066" w14:textId="77777777" w:rsidR="00F40512" w:rsidRDefault="00F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504B" w14:textId="77777777" w:rsidR="00F40512" w:rsidRDefault="00F40512">
      <w:r>
        <w:separator/>
      </w:r>
    </w:p>
  </w:footnote>
  <w:footnote w:type="continuationSeparator" w:id="0">
    <w:p w14:paraId="3795A5F3" w14:textId="77777777" w:rsidR="00F40512" w:rsidRDefault="00F4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2"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5"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7"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8"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39"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16cid:durableId="197936492">
    <w:abstractNumId w:val="38"/>
  </w:num>
  <w:num w:numId="2" w16cid:durableId="1458372766">
    <w:abstractNumId w:val="40"/>
  </w:num>
  <w:num w:numId="3" w16cid:durableId="923149072">
    <w:abstractNumId w:val="35"/>
  </w:num>
  <w:num w:numId="4" w16cid:durableId="589391621">
    <w:abstractNumId w:val="18"/>
  </w:num>
  <w:num w:numId="5" w16cid:durableId="1757167955">
    <w:abstractNumId w:val="33"/>
  </w:num>
  <w:num w:numId="6" w16cid:durableId="225646209">
    <w:abstractNumId w:val="27"/>
  </w:num>
  <w:num w:numId="7" w16cid:durableId="280193078">
    <w:abstractNumId w:val="5"/>
  </w:num>
  <w:num w:numId="8" w16cid:durableId="392848607">
    <w:abstractNumId w:val="8"/>
  </w:num>
  <w:num w:numId="9" w16cid:durableId="654915546">
    <w:abstractNumId w:val="4"/>
  </w:num>
  <w:num w:numId="10" w16cid:durableId="1911843847">
    <w:abstractNumId w:val="20"/>
  </w:num>
  <w:num w:numId="11" w16cid:durableId="1931160959">
    <w:abstractNumId w:val="29"/>
  </w:num>
  <w:num w:numId="12" w16cid:durableId="152722893">
    <w:abstractNumId w:val="21"/>
  </w:num>
  <w:num w:numId="13" w16cid:durableId="253100591">
    <w:abstractNumId w:val="22"/>
  </w:num>
  <w:num w:numId="14" w16cid:durableId="231473268">
    <w:abstractNumId w:val="15"/>
  </w:num>
  <w:num w:numId="15" w16cid:durableId="908345757">
    <w:abstractNumId w:val="16"/>
  </w:num>
  <w:num w:numId="16" w16cid:durableId="2134325959">
    <w:abstractNumId w:val="17"/>
  </w:num>
  <w:num w:numId="17" w16cid:durableId="1613828860">
    <w:abstractNumId w:val="13"/>
  </w:num>
  <w:num w:numId="18" w16cid:durableId="936593073">
    <w:abstractNumId w:val="3"/>
  </w:num>
  <w:num w:numId="19" w16cid:durableId="1407995379">
    <w:abstractNumId w:val="25"/>
  </w:num>
  <w:num w:numId="20" w16cid:durableId="387920728">
    <w:abstractNumId w:val="10"/>
  </w:num>
  <w:num w:numId="21" w16cid:durableId="1954164025">
    <w:abstractNumId w:val="32"/>
  </w:num>
  <w:num w:numId="22" w16cid:durableId="1809475196">
    <w:abstractNumId w:val="26"/>
  </w:num>
  <w:num w:numId="23" w16cid:durableId="1357466433">
    <w:abstractNumId w:val="2"/>
  </w:num>
  <w:num w:numId="24" w16cid:durableId="649794956">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16cid:durableId="2021854712">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16cid:durableId="1841462343">
    <w:abstractNumId w:val="7"/>
  </w:num>
  <w:num w:numId="27" w16cid:durableId="1284000406">
    <w:abstractNumId w:val="29"/>
  </w:num>
  <w:num w:numId="28" w16cid:durableId="2057654860">
    <w:abstractNumId w:val="34"/>
  </w:num>
  <w:num w:numId="29" w16cid:durableId="1861428515">
    <w:abstractNumId w:val="6"/>
  </w:num>
  <w:num w:numId="30" w16cid:durableId="352532611">
    <w:abstractNumId w:val="30"/>
  </w:num>
  <w:num w:numId="31" w16cid:durableId="1604606259">
    <w:abstractNumId w:val="11"/>
  </w:num>
  <w:num w:numId="32" w16cid:durableId="394163332">
    <w:abstractNumId w:val="36"/>
  </w:num>
  <w:num w:numId="33" w16cid:durableId="1135487253">
    <w:abstractNumId w:val="39"/>
  </w:num>
  <w:num w:numId="34" w16cid:durableId="234441462">
    <w:abstractNumId w:val="12"/>
  </w:num>
  <w:num w:numId="35" w16cid:durableId="639270063">
    <w:abstractNumId w:val="9"/>
  </w:num>
  <w:num w:numId="36" w16cid:durableId="784928605">
    <w:abstractNumId w:val="37"/>
  </w:num>
  <w:num w:numId="37" w16cid:durableId="676689696">
    <w:abstractNumId w:val="0"/>
  </w:num>
  <w:num w:numId="38" w16cid:durableId="1379624229">
    <w:abstractNumId w:val="24"/>
  </w:num>
  <w:num w:numId="39" w16cid:durableId="1755080653">
    <w:abstractNumId w:val="19"/>
  </w:num>
  <w:num w:numId="40" w16cid:durableId="152645109">
    <w:abstractNumId w:val="14"/>
  </w:num>
  <w:num w:numId="41" w16cid:durableId="1973560902">
    <w:abstractNumId w:val="31"/>
  </w:num>
  <w:num w:numId="42" w16cid:durableId="330988893">
    <w:abstractNumId w:val="28"/>
  </w:num>
  <w:num w:numId="43" w16cid:durableId="1452893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2936"/>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377D"/>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7EE4"/>
    <w:rsid w:val="000F0BB0"/>
    <w:rsid w:val="000F1C40"/>
    <w:rsid w:val="000F36EF"/>
    <w:rsid w:val="000F5F80"/>
    <w:rsid w:val="000F614E"/>
    <w:rsid w:val="000F660F"/>
    <w:rsid w:val="000F6CD9"/>
    <w:rsid w:val="000F6F55"/>
    <w:rsid w:val="000F7863"/>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253C"/>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8105D"/>
    <w:rsid w:val="0018159C"/>
    <w:rsid w:val="001815F1"/>
    <w:rsid w:val="001822EF"/>
    <w:rsid w:val="00182FD1"/>
    <w:rsid w:val="001834B2"/>
    <w:rsid w:val="0018483C"/>
    <w:rsid w:val="00186FCD"/>
    <w:rsid w:val="0018746C"/>
    <w:rsid w:val="00187DC9"/>
    <w:rsid w:val="0019023F"/>
    <w:rsid w:val="00190EB7"/>
    <w:rsid w:val="001923AD"/>
    <w:rsid w:val="00192598"/>
    <w:rsid w:val="00192761"/>
    <w:rsid w:val="001927B1"/>
    <w:rsid w:val="00194FB5"/>
    <w:rsid w:val="00196544"/>
    <w:rsid w:val="00196840"/>
    <w:rsid w:val="00197C18"/>
    <w:rsid w:val="001A0249"/>
    <w:rsid w:val="001A03EF"/>
    <w:rsid w:val="001A07CB"/>
    <w:rsid w:val="001A1E23"/>
    <w:rsid w:val="001A32A0"/>
    <w:rsid w:val="001A3CBA"/>
    <w:rsid w:val="001A6BEA"/>
    <w:rsid w:val="001B00F0"/>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6540"/>
    <w:rsid w:val="001C7F3F"/>
    <w:rsid w:val="001D1CDD"/>
    <w:rsid w:val="001D2EF0"/>
    <w:rsid w:val="001D3932"/>
    <w:rsid w:val="001D4E54"/>
    <w:rsid w:val="001D594E"/>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3A0C"/>
    <w:rsid w:val="00204841"/>
    <w:rsid w:val="00206BA8"/>
    <w:rsid w:val="002071BD"/>
    <w:rsid w:val="00207552"/>
    <w:rsid w:val="00212B4B"/>
    <w:rsid w:val="00214845"/>
    <w:rsid w:val="00215C88"/>
    <w:rsid w:val="002172F4"/>
    <w:rsid w:val="00217429"/>
    <w:rsid w:val="00220568"/>
    <w:rsid w:val="00220B11"/>
    <w:rsid w:val="0022169E"/>
    <w:rsid w:val="0022578D"/>
    <w:rsid w:val="0022704D"/>
    <w:rsid w:val="00227935"/>
    <w:rsid w:val="00231D41"/>
    <w:rsid w:val="00231FFF"/>
    <w:rsid w:val="00232182"/>
    <w:rsid w:val="002326DE"/>
    <w:rsid w:val="00240274"/>
    <w:rsid w:val="0024137A"/>
    <w:rsid w:val="00241601"/>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3DF"/>
    <w:rsid w:val="002D5A60"/>
    <w:rsid w:val="002D6899"/>
    <w:rsid w:val="002D6E0E"/>
    <w:rsid w:val="002D6F95"/>
    <w:rsid w:val="002E1032"/>
    <w:rsid w:val="002E192C"/>
    <w:rsid w:val="002E2072"/>
    <w:rsid w:val="002E48A8"/>
    <w:rsid w:val="002E6208"/>
    <w:rsid w:val="002E7367"/>
    <w:rsid w:val="002F00FD"/>
    <w:rsid w:val="002F164D"/>
    <w:rsid w:val="002F21FC"/>
    <w:rsid w:val="002F4DAC"/>
    <w:rsid w:val="002F6EB1"/>
    <w:rsid w:val="0030089D"/>
    <w:rsid w:val="003018F7"/>
    <w:rsid w:val="0030294F"/>
    <w:rsid w:val="00304889"/>
    <w:rsid w:val="00304E72"/>
    <w:rsid w:val="00305EB7"/>
    <w:rsid w:val="0031002A"/>
    <w:rsid w:val="00314640"/>
    <w:rsid w:val="003146A6"/>
    <w:rsid w:val="00316B1D"/>
    <w:rsid w:val="00317A8D"/>
    <w:rsid w:val="00322043"/>
    <w:rsid w:val="00323FF5"/>
    <w:rsid w:val="0032476C"/>
    <w:rsid w:val="003270D2"/>
    <w:rsid w:val="00330C53"/>
    <w:rsid w:val="003326BA"/>
    <w:rsid w:val="00332C9E"/>
    <w:rsid w:val="00333256"/>
    <w:rsid w:val="003338AB"/>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60ABB"/>
    <w:rsid w:val="00360AE4"/>
    <w:rsid w:val="00360CCC"/>
    <w:rsid w:val="00363940"/>
    <w:rsid w:val="00364ED5"/>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2E9E"/>
    <w:rsid w:val="003E3439"/>
    <w:rsid w:val="003E4669"/>
    <w:rsid w:val="003F067F"/>
    <w:rsid w:val="003F08E5"/>
    <w:rsid w:val="003F0B5A"/>
    <w:rsid w:val="003F358F"/>
    <w:rsid w:val="003F3E7F"/>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636B"/>
    <w:rsid w:val="00456786"/>
    <w:rsid w:val="00456CA4"/>
    <w:rsid w:val="00460F4F"/>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64EB"/>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3954"/>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989"/>
    <w:rsid w:val="00640DCF"/>
    <w:rsid w:val="00641CE0"/>
    <w:rsid w:val="00642B47"/>
    <w:rsid w:val="00642D5E"/>
    <w:rsid w:val="006455E0"/>
    <w:rsid w:val="006459EE"/>
    <w:rsid w:val="006465A6"/>
    <w:rsid w:val="0064772B"/>
    <w:rsid w:val="00654A29"/>
    <w:rsid w:val="0065576C"/>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4179"/>
    <w:rsid w:val="00736360"/>
    <w:rsid w:val="00737CA3"/>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2243"/>
    <w:rsid w:val="00793E2C"/>
    <w:rsid w:val="00794F39"/>
    <w:rsid w:val="00797527"/>
    <w:rsid w:val="00797A64"/>
    <w:rsid w:val="007A35FD"/>
    <w:rsid w:val="007A3D48"/>
    <w:rsid w:val="007A3E97"/>
    <w:rsid w:val="007A3FFF"/>
    <w:rsid w:val="007A59C0"/>
    <w:rsid w:val="007A5A6B"/>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6DB6"/>
    <w:rsid w:val="007F76EA"/>
    <w:rsid w:val="00800664"/>
    <w:rsid w:val="008006DE"/>
    <w:rsid w:val="008019A5"/>
    <w:rsid w:val="00801A08"/>
    <w:rsid w:val="00801A66"/>
    <w:rsid w:val="00803086"/>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DCF"/>
    <w:rsid w:val="00843C40"/>
    <w:rsid w:val="008440BC"/>
    <w:rsid w:val="0084411E"/>
    <w:rsid w:val="008456B1"/>
    <w:rsid w:val="00850078"/>
    <w:rsid w:val="0085224C"/>
    <w:rsid w:val="00852A02"/>
    <w:rsid w:val="00853A7A"/>
    <w:rsid w:val="008553D5"/>
    <w:rsid w:val="00855DBA"/>
    <w:rsid w:val="00856482"/>
    <w:rsid w:val="0085648B"/>
    <w:rsid w:val="00860868"/>
    <w:rsid w:val="008645E7"/>
    <w:rsid w:val="00867CCF"/>
    <w:rsid w:val="0087011D"/>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484B"/>
    <w:rsid w:val="008B4A0B"/>
    <w:rsid w:val="008B55A9"/>
    <w:rsid w:val="008B70B3"/>
    <w:rsid w:val="008C0434"/>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515"/>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85D"/>
    <w:rsid w:val="009A6C90"/>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765B"/>
    <w:rsid w:val="009E1008"/>
    <w:rsid w:val="009E1706"/>
    <w:rsid w:val="009E1C41"/>
    <w:rsid w:val="009E1CB6"/>
    <w:rsid w:val="009E31D7"/>
    <w:rsid w:val="009E3AB6"/>
    <w:rsid w:val="009E3B85"/>
    <w:rsid w:val="009E4CF8"/>
    <w:rsid w:val="009E5197"/>
    <w:rsid w:val="009E644B"/>
    <w:rsid w:val="009F0C9A"/>
    <w:rsid w:val="009F134C"/>
    <w:rsid w:val="009F23A5"/>
    <w:rsid w:val="009F2512"/>
    <w:rsid w:val="009F385A"/>
    <w:rsid w:val="009F4488"/>
    <w:rsid w:val="009F486D"/>
    <w:rsid w:val="009F62E8"/>
    <w:rsid w:val="009F6D7D"/>
    <w:rsid w:val="009F76DA"/>
    <w:rsid w:val="00A000FC"/>
    <w:rsid w:val="00A009B6"/>
    <w:rsid w:val="00A012C8"/>
    <w:rsid w:val="00A02B2B"/>
    <w:rsid w:val="00A04672"/>
    <w:rsid w:val="00A04E04"/>
    <w:rsid w:val="00A06BA2"/>
    <w:rsid w:val="00A12F3C"/>
    <w:rsid w:val="00A15BAB"/>
    <w:rsid w:val="00A168DF"/>
    <w:rsid w:val="00A16969"/>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2FD"/>
    <w:rsid w:val="00A54D58"/>
    <w:rsid w:val="00A56D75"/>
    <w:rsid w:val="00A60CBB"/>
    <w:rsid w:val="00A64889"/>
    <w:rsid w:val="00A64D0E"/>
    <w:rsid w:val="00A65925"/>
    <w:rsid w:val="00A67494"/>
    <w:rsid w:val="00A70BD1"/>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526"/>
    <w:rsid w:val="00AA1A46"/>
    <w:rsid w:val="00AA2CFD"/>
    <w:rsid w:val="00AA3087"/>
    <w:rsid w:val="00AA4FA5"/>
    <w:rsid w:val="00AA7FA8"/>
    <w:rsid w:val="00AB0D4F"/>
    <w:rsid w:val="00AB1019"/>
    <w:rsid w:val="00AB18B1"/>
    <w:rsid w:val="00AB2960"/>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3DCC"/>
    <w:rsid w:val="00B65934"/>
    <w:rsid w:val="00B67BD7"/>
    <w:rsid w:val="00B708B3"/>
    <w:rsid w:val="00B70A2A"/>
    <w:rsid w:val="00B70FA5"/>
    <w:rsid w:val="00B716D7"/>
    <w:rsid w:val="00B71FE6"/>
    <w:rsid w:val="00B725FB"/>
    <w:rsid w:val="00B72868"/>
    <w:rsid w:val="00B749BE"/>
    <w:rsid w:val="00B75F9C"/>
    <w:rsid w:val="00B80D02"/>
    <w:rsid w:val="00B81060"/>
    <w:rsid w:val="00B83246"/>
    <w:rsid w:val="00B83FB0"/>
    <w:rsid w:val="00B8471D"/>
    <w:rsid w:val="00B8488E"/>
    <w:rsid w:val="00B85333"/>
    <w:rsid w:val="00B90B86"/>
    <w:rsid w:val="00B915E9"/>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3BA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6B22"/>
    <w:rsid w:val="00C17DFB"/>
    <w:rsid w:val="00C201C8"/>
    <w:rsid w:val="00C2062A"/>
    <w:rsid w:val="00C216E9"/>
    <w:rsid w:val="00C22CA2"/>
    <w:rsid w:val="00C2495E"/>
    <w:rsid w:val="00C260B4"/>
    <w:rsid w:val="00C27824"/>
    <w:rsid w:val="00C31DBD"/>
    <w:rsid w:val="00C32A50"/>
    <w:rsid w:val="00C33EEE"/>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5371"/>
    <w:rsid w:val="00C9632F"/>
    <w:rsid w:val="00CA0629"/>
    <w:rsid w:val="00CA0CC0"/>
    <w:rsid w:val="00CA1065"/>
    <w:rsid w:val="00CA172A"/>
    <w:rsid w:val="00CA17D7"/>
    <w:rsid w:val="00CA1F69"/>
    <w:rsid w:val="00CA545C"/>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4A6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E77"/>
    <w:rsid w:val="00E43572"/>
    <w:rsid w:val="00E43C1A"/>
    <w:rsid w:val="00E44A11"/>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6268"/>
    <w:rsid w:val="00E91568"/>
    <w:rsid w:val="00E92D52"/>
    <w:rsid w:val="00E964BF"/>
    <w:rsid w:val="00E96526"/>
    <w:rsid w:val="00E9678C"/>
    <w:rsid w:val="00E96C56"/>
    <w:rsid w:val="00E970AA"/>
    <w:rsid w:val="00EA005D"/>
    <w:rsid w:val="00EA3469"/>
    <w:rsid w:val="00EA3954"/>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1E34"/>
    <w:rsid w:val="00F51EB7"/>
    <w:rsid w:val="00F53D2F"/>
    <w:rsid w:val="00F5459E"/>
    <w:rsid w:val="00F54C58"/>
    <w:rsid w:val="00F5569E"/>
    <w:rsid w:val="00F570F2"/>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3FC1"/>
    <w:rsid w:val="00F840A5"/>
    <w:rsid w:val="00F856AD"/>
    <w:rsid w:val="00F8630B"/>
    <w:rsid w:val="00F87420"/>
    <w:rsid w:val="00F87D57"/>
    <w:rsid w:val="00F90948"/>
    <w:rsid w:val="00F90B58"/>
    <w:rsid w:val="00F93892"/>
    <w:rsid w:val="00F9458F"/>
    <w:rsid w:val="00F9797B"/>
    <w:rsid w:val="00FA0D91"/>
    <w:rsid w:val="00FA1BA0"/>
    <w:rsid w:val="00FA1C09"/>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7"/>
    <o:shapelayout v:ext="edit">
      <o:idmap v:ext="edit" data="2"/>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C3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package" Target="embeddings/Microsoft_Word_Document.docx"/><Relationship Id="rId26"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s://questionnaire.callan.com/" TargetMode="External"/><Relationship Id="rId20" Type="http://schemas.openxmlformats.org/officeDocument/2006/relationships/package" Target="embeddings/Microsoft_Word_Document1.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fabf.org" TargetMode="External"/><Relationship Id="rId24"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oconnell@callan.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oconnell@callan.com" TargetMode="External"/><Relationship Id="rId14" Type="http://schemas.openxmlformats.org/officeDocument/2006/relationships/image" Target="media/image3.emf"/><Relationship Id="rId22" Type="http://schemas.openxmlformats.org/officeDocument/2006/relationships/package" Target="embeddings/Microsoft_Excel_Worksheet.xls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0616-4025-405A-AD81-9C31FF11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2683</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18020</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Lorna Scott</cp:lastModifiedBy>
  <cp:revision>21</cp:revision>
  <cp:lastPrinted>2018-12-13T22:12:00Z</cp:lastPrinted>
  <dcterms:created xsi:type="dcterms:W3CDTF">2022-02-16T17:28:00Z</dcterms:created>
  <dcterms:modified xsi:type="dcterms:W3CDTF">2022-12-06T16:10:00Z</dcterms:modified>
</cp:coreProperties>
</file>